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彩云" w:hAnsi="黑体" w:eastAsia="华文彩云"/>
          <w:color w:val="FF0000"/>
          <w:sz w:val="96"/>
          <w:szCs w:val="144"/>
        </w:rPr>
      </w:pPr>
      <w:r>
        <w:rPr>
          <w:rFonts w:hint="eastAsia" w:ascii="华文彩云" w:hAnsi="黑体" w:eastAsia="华文彩云"/>
          <w:color w:val="FF0000"/>
          <w:sz w:val="96"/>
          <w:szCs w:val="144"/>
        </w:rPr>
        <w:t>综改动态</w:t>
      </w:r>
    </w:p>
    <w:p>
      <w:pPr>
        <w:spacing w:line="480" w:lineRule="auto"/>
        <w:jc w:val="center"/>
        <w:rPr>
          <w:rFonts w:ascii="仿宋_GB2312" w:hAnsi="黑体" w:eastAsia="仿宋_GB2312"/>
          <w:color w:val="000000" w:themeColor="text1"/>
          <w:sz w:val="24"/>
          <w:szCs w:val="24"/>
        </w:rPr>
      </w:pPr>
      <w:r>
        <w:rPr>
          <w:rFonts w:hint="eastAsia" w:ascii="仿宋_GB2312" w:hAnsi="黑体" w:eastAsia="仿宋_GB2312"/>
          <w:color w:val="000000" w:themeColor="text1"/>
          <w:sz w:val="24"/>
          <w:szCs w:val="24"/>
        </w:rPr>
        <w:t>2017年第10月第01期</w:t>
      </w:r>
    </w:p>
    <w:p>
      <w:pPr>
        <w:tabs>
          <w:tab w:val="left" w:pos="6060"/>
        </w:tabs>
        <w:spacing w:line="480" w:lineRule="auto"/>
        <w:rPr>
          <w:rFonts w:eastAsia="方正仿宋简体"/>
          <w:b/>
          <w:color w:val="000000" w:themeColor="text1"/>
          <w:spacing w:val="100"/>
          <w:sz w:val="32"/>
          <w:szCs w:val="32"/>
        </w:rPr>
      </w:pPr>
      <w:r>
        <w:rPr>
          <w:rFonts w:hint="eastAsia" w:ascii="方正仿宋简体" w:hAnsi="黑体" w:eastAsia="方正仿宋简体"/>
          <w:color w:val="000000" w:themeColor="text1"/>
          <w:sz w:val="32"/>
          <w:szCs w:val="32"/>
        </w:rPr>
        <w:t xml:space="preserve">成都学院绩效管理项目组编            </w:t>
      </w:r>
      <w:r>
        <w:rPr>
          <w:rFonts w:eastAsia="方正仿宋简体"/>
          <w:color w:val="000000" w:themeColor="text1"/>
          <w:sz w:val="32"/>
          <w:szCs w:val="32"/>
        </w:rPr>
        <w:t>201</w:t>
      </w:r>
      <w:r>
        <w:rPr>
          <w:rFonts w:hint="eastAsia" w:eastAsia="方正仿宋简体"/>
          <w:color w:val="000000" w:themeColor="text1"/>
          <w:sz w:val="32"/>
          <w:szCs w:val="32"/>
        </w:rPr>
        <w:t>7</w:t>
      </w:r>
      <w:r>
        <w:rPr>
          <w:rFonts w:eastAsia="方正仿宋简体"/>
          <w:color w:val="000000" w:themeColor="text1"/>
          <w:sz w:val="32"/>
          <w:szCs w:val="32"/>
        </w:rPr>
        <w:t>年</w:t>
      </w:r>
      <w:r>
        <w:rPr>
          <w:rFonts w:hint="eastAsia" w:eastAsia="方正仿宋简体"/>
          <w:color w:val="000000" w:themeColor="text1"/>
          <w:sz w:val="32"/>
          <w:szCs w:val="32"/>
        </w:rPr>
        <w:t>10</w:t>
      </w:r>
      <w:r>
        <w:rPr>
          <w:rFonts w:eastAsia="方正仿宋简体"/>
          <w:color w:val="000000" w:themeColor="text1"/>
          <w:sz w:val="32"/>
          <w:szCs w:val="32"/>
        </w:rPr>
        <w:t>月</w:t>
      </w:r>
      <w:r>
        <w:rPr>
          <w:rFonts w:hint="eastAsia" w:eastAsia="方正仿宋简体"/>
          <w:color w:val="000000" w:themeColor="text1"/>
          <w:sz w:val="32"/>
          <w:szCs w:val="32"/>
        </w:rPr>
        <w:t>12</w:t>
      </w:r>
      <w:r>
        <w:rPr>
          <w:rFonts w:eastAsia="方正仿宋简体"/>
          <w:color w:val="000000" w:themeColor="text1"/>
          <w:sz w:val="32"/>
          <w:szCs w:val="32"/>
        </w:rPr>
        <w:t>日</w:t>
      </w:r>
    </w:p>
    <w:tbl>
      <w:tblPr>
        <w:tblStyle w:val="7"/>
        <w:tblW w:w="8582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2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8582" w:type="dxa"/>
            <w:tcBorders>
              <w:top w:val="single" w:color="FF0000" w:sz="18" w:space="0"/>
            </w:tcBorders>
          </w:tcPr>
          <w:p>
            <w:pPr>
              <w:jc w:val="center"/>
              <w:rPr>
                <w:rFonts w:ascii="方正小标宋简体" w:hAnsi="黑体" w:eastAsia="方正小标宋简体"/>
                <w:b/>
                <w:color w:val="FF0000"/>
                <w:spacing w:val="100"/>
                <w:sz w:val="2"/>
                <w:szCs w:val="2"/>
              </w:rPr>
            </w:pPr>
          </w:p>
        </w:tc>
      </w:tr>
    </w:tbl>
    <w:p>
      <w:pPr>
        <w:ind w:right="-58" w:firstLine="800" w:firstLineChars="250"/>
        <w:jc w:val="left"/>
        <w:rPr>
          <w:rFonts w:eastAsia="方正小标宋简体"/>
          <w:b/>
          <w:color w:val="000000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 xml:space="preserve"> </w:t>
      </w:r>
      <w:r>
        <w:rPr>
          <w:rFonts w:eastAsia="方正小标宋简体"/>
          <w:b/>
          <w:bCs/>
          <w:spacing w:val="-10"/>
          <w:kern w:val="36"/>
          <w:sz w:val="32"/>
          <w:szCs w:val="32"/>
        </w:rPr>
        <w:t>《高校整体支出绩效评价改革》2017年</w:t>
      </w:r>
      <w:r>
        <w:rPr>
          <w:rFonts w:hint="eastAsia" w:eastAsia="方正小标宋简体"/>
          <w:b/>
          <w:color w:val="000000"/>
          <w:sz w:val="32"/>
          <w:szCs w:val="32"/>
        </w:rPr>
        <w:t>10</w:t>
      </w:r>
      <w:r>
        <w:rPr>
          <w:rFonts w:eastAsia="方正小标宋简体"/>
          <w:b/>
          <w:color w:val="000000"/>
          <w:sz w:val="32"/>
          <w:szCs w:val="32"/>
        </w:rPr>
        <w:t>月简报</w:t>
      </w:r>
    </w:p>
    <w:p>
      <w:pPr>
        <w:ind w:left="0" w:leftChars="0" w:right="-58" w:firstLine="0" w:firstLineChars="0"/>
        <w:jc w:val="center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项目组深入研讨改革项目实施情况</w:t>
      </w:r>
    </w:p>
    <w:p>
      <w:pPr>
        <w:ind w:right="-58" w:firstLine="1365" w:firstLineChars="650"/>
        <w:jc w:val="left"/>
        <w:rPr>
          <w:rFonts w:eastAsia="方正仿宋简体"/>
          <w:sz w:val="21"/>
          <w:szCs w:val="21"/>
        </w:rPr>
      </w:pPr>
    </w:p>
    <w:p>
      <w:pPr>
        <w:spacing w:line="360" w:lineRule="auto"/>
        <w:ind w:firstLine="800" w:firstLineChars="25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近年来，随着我国经济体制改革的逐步深化，财政预算管理制度的</w:t>
      </w:r>
      <w:r>
        <w:rPr>
          <w:rFonts w:hint="eastAsia" w:eastAsia="方正仿宋简体"/>
          <w:sz w:val="32"/>
          <w:szCs w:val="32"/>
          <w:lang w:eastAsia="zh-CN"/>
        </w:rPr>
        <w:t>变革</w:t>
      </w:r>
      <w:r>
        <w:rPr>
          <w:rFonts w:eastAsia="方正仿宋简体"/>
          <w:sz w:val="32"/>
          <w:szCs w:val="32"/>
        </w:rPr>
        <w:t>从框架、形式的改变逐渐转向管理理念</w:t>
      </w:r>
      <w:r>
        <w:rPr>
          <w:rFonts w:hint="eastAsia" w:eastAsia="方正仿宋简体"/>
          <w:sz w:val="32"/>
          <w:szCs w:val="32"/>
        </w:rPr>
        <w:t>（绩效管理）</w:t>
      </w:r>
      <w:r>
        <w:rPr>
          <w:rFonts w:eastAsia="方正仿宋简体"/>
          <w:sz w:val="32"/>
          <w:szCs w:val="32"/>
        </w:rPr>
        <w:t>和具体操作制度</w:t>
      </w:r>
      <w:r>
        <w:rPr>
          <w:rFonts w:hint="eastAsia" w:eastAsia="方正仿宋简体"/>
          <w:sz w:val="32"/>
          <w:szCs w:val="32"/>
        </w:rPr>
        <w:t>（绩效评价）</w:t>
      </w:r>
      <w:r>
        <w:rPr>
          <w:rFonts w:eastAsia="方正仿宋简体"/>
          <w:sz w:val="32"/>
          <w:szCs w:val="32"/>
        </w:rPr>
        <w:t>的突破与创新</w:t>
      </w:r>
      <w:r>
        <w:rPr>
          <w:rFonts w:hint="eastAsia" w:eastAsia="方正仿宋简体"/>
          <w:sz w:val="32"/>
          <w:szCs w:val="32"/>
        </w:rPr>
        <w:t>。国家中长期教育发展规划提出，要“完善学校目标管理和绩效管理机制”，绩效管理需要贯穿于整个学校的管理之中，使学校内部管理制度发生深刻变革。</w:t>
      </w:r>
    </w:p>
    <w:p>
      <w:pPr>
        <w:spacing w:line="550" w:lineRule="exact"/>
        <w:ind w:firstLine="64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10月12日，项目组成员召开碰头会议，财务处处长李兴泉、副处长林育晟以及专家组成员参加，副校长苏蓉出席会议。</w:t>
      </w:r>
      <w:r>
        <w:rPr>
          <w:rFonts w:hint="eastAsia" w:eastAsia="方正仿宋简体"/>
          <w:sz w:val="32"/>
          <w:szCs w:val="32"/>
          <w:lang w:eastAsia="zh-CN"/>
        </w:rPr>
        <w:t>在本次中期迎评中，专家组根据需要做了</w:t>
      </w:r>
      <w:bookmarkStart w:id="0" w:name="_GoBack"/>
      <w:bookmarkEnd w:id="0"/>
      <w:r>
        <w:rPr>
          <w:rFonts w:hint="eastAsia" w:eastAsia="方正仿宋简体"/>
          <w:sz w:val="32"/>
          <w:szCs w:val="32"/>
          <w:lang w:eastAsia="zh-CN"/>
        </w:rPr>
        <w:t>人员调整，新任专家组成员齐聚一堂，再次深入研讨本项目的经验和下一步推进计划。</w:t>
      </w:r>
    </w:p>
    <w:p>
      <w:pPr>
        <w:spacing w:line="550" w:lineRule="exact"/>
        <w:ind w:firstLine="64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苏蓉强调，成都大学要用财务绩效为杠杆去撬动学校整体绩效，这就需要把规划具体到实际工作中来，解决工作中的实际问题。通过具体的制度操作，提高资金使用效率。为提高预算执行过程中的资金使用效率，今年</w:t>
      </w:r>
      <w:r>
        <w:rPr>
          <w:rFonts w:eastAsia="方正仿宋简体"/>
          <w:sz w:val="32"/>
          <w:szCs w:val="32"/>
        </w:rPr>
        <w:t>学校</w:t>
      </w:r>
      <w:r>
        <w:rPr>
          <w:rFonts w:hint="eastAsia" w:eastAsia="方正仿宋简体"/>
          <w:sz w:val="32"/>
          <w:szCs w:val="32"/>
        </w:rPr>
        <w:t>严格</w:t>
      </w:r>
      <w:r>
        <w:rPr>
          <w:rFonts w:eastAsia="方正仿宋简体"/>
          <w:sz w:val="32"/>
          <w:szCs w:val="32"/>
        </w:rPr>
        <w:t>按季度扣减未执行满的项目经费额度（六月底应使用预算的50%，九月底使用预算的75%）</w:t>
      </w:r>
      <w:r>
        <w:rPr>
          <w:rFonts w:hint="eastAsia" w:eastAsia="方正仿宋简体"/>
          <w:sz w:val="32"/>
          <w:szCs w:val="32"/>
        </w:rPr>
        <w:t>。严格按照</w:t>
      </w:r>
      <w:r>
        <w:rPr>
          <w:rFonts w:hint="eastAsia" w:eastAsia="方正仿宋简体"/>
          <w:sz w:val="32"/>
          <w:szCs w:val="32"/>
          <w:lang w:eastAsia="zh-CN"/>
        </w:rPr>
        <w:t>制度规定，在</w:t>
      </w:r>
      <w:r>
        <w:rPr>
          <w:rFonts w:eastAsia="方正仿宋简体"/>
          <w:sz w:val="32"/>
          <w:szCs w:val="32"/>
        </w:rPr>
        <w:t>经济事项结束后，次月内必须完成报销</w:t>
      </w:r>
      <w:r>
        <w:rPr>
          <w:rFonts w:hint="eastAsia" w:eastAsia="方正仿宋简体"/>
          <w:sz w:val="32"/>
          <w:szCs w:val="32"/>
        </w:rPr>
        <w:t>的</w:t>
      </w:r>
      <w:r>
        <w:rPr>
          <w:rFonts w:eastAsia="方正仿宋简体"/>
          <w:sz w:val="32"/>
          <w:szCs w:val="32"/>
        </w:rPr>
        <w:t>手续</w:t>
      </w:r>
      <w:r>
        <w:rPr>
          <w:rFonts w:hint="eastAsia" w:eastAsia="方正仿宋简体"/>
          <w:sz w:val="32"/>
          <w:szCs w:val="32"/>
        </w:rPr>
        <w:t>。同时</w:t>
      </w:r>
      <w:r>
        <w:rPr>
          <w:rFonts w:eastAsia="方正仿宋简体"/>
          <w:sz w:val="32"/>
          <w:szCs w:val="32"/>
        </w:rPr>
        <w:t>规范二级单位的财务制度、审签流程、公示要求等</w:t>
      </w:r>
      <w:r>
        <w:rPr>
          <w:rFonts w:hint="eastAsia" w:eastAsia="方正仿宋简体"/>
          <w:sz w:val="32"/>
          <w:szCs w:val="32"/>
          <w:lang w:eastAsia="zh-CN"/>
        </w:rPr>
        <w:t>。</w:t>
      </w:r>
      <w:r>
        <w:rPr>
          <w:rFonts w:hint="eastAsia" w:eastAsia="方正仿宋简体"/>
          <w:sz w:val="32"/>
          <w:szCs w:val="32"/>
        </w:rPr>
        <w:t>一级预算部门对二级单位的划拨经费进行监督考核，通过绩效考核规范财务制度，查缺补漏，</w:t>
      </w:r>
      <w:r>
        <w:rPr>
          <w:rFonts w:eastAsia="方正仿宋简体"/>
          <w:sz w:val="32"/>
          <w:szCs w:val="32"/>
        </w:rPr>
        <w:t>促使全校各学院、部门的资金管理水平和资金使用效率有效提升</w:t>
      </w:r>
      <w:r>
        <w:rPr>
          <w:rFonts w:hint="eastAsia" w:eastAsia="方正仿宋简体"/>
          <w:sz w:val="32"/>
          <w:szCs w:val="32"/>
        </w:rPr>
        <w:t>。</w:t>
      </w:r>
    </w:p>
    <w:p>
      <w:pPr>
        <w:ind w:right="-58" w:firstLine="800" w:firstLineChars="250"/>
        <w:jc w:val="left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李兴泉强调</w:t>
      </w:r>
      <w:r>
        <w:rPr>
          <w:rFonts w:hint="eastAsia" w:eastAsia="方正仿宋简体"/>
          <w:sz w:val="32"/>
          <w:szCs w:val="32"/>
          <w:lang w:eastAsia="zh-CN"/>
        </w:rPr>
        <w:t>，</w:t>
      </w:r>
      <w:r>
        <w:rPr>
          <w:rFonts w:hint="eastAsia" w:eastAsia="方正仿宋简体"/>
          <w:sz w:val="32"/>
          <w:szCs w:val="32"/>
        </w:rPr>
        <w:t>现在学校审计处和国资处借助财务绩效考核发展自身的绩效考核，我们需要继续优化项目模式，这对学校的发展有益，</w:t>
      </w:r>
      <w:r>
        <w:rPr>
          <w:rFonts w:hint="eastAsia" w:eastAsia="方正仿宋简体"/>
          <w:sz w:val="32"/>
          <w:szCs w:val="32"/>
          <w:lang w:eastAsia="zh-CN"/>
        </w:rPr>
        <w:t>有利于</w:t>
      </w:r>
      <w:r>
        <w:rPr>
          <w:rFonts w:hint="eastAsia" w:eastAsia="方正仿宋简体"/>
          <w:sz w:val="32"/>
          <w:szCs w:val="32"/>
        </w:rPr>
        <w:t>提升学校发展水平。</w:t>
      </w:r>
    </w:p>
    <w:p>
      <w:pPr>
        <w:ind w:right="-58" w:firstLine="800" w:firstLineChars="250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专家组</w:t>
      </w:r>
      <w:r>
        <w:rPr>
          <w:rFonts w:hint="eastAsia" w:eastAsia="方正仿宋简体"/>
          <w:sz w:val="32"/>
          <w:szCs w:val="32"/>
          <w:lang w:eastAsia="zh-CN"/>
        </w:rPr>
        <w:t>负责人</w:t>
      </w:r>
      <w:r>
        <w:rPr>
          <w:rFonts w:hint="eastAsia" w:eastAsia="方正仿宋简体"/>
          <w:sz w:val="32"/>
          <w:szCs w:val="32"/>
        </w:rPr>
        <w:t>朱盈盈表示，高校整体支出绩效评价项目是一个改革实践项目，需要大量实践经验去论证项目的可行性，</w:t>
      </w:r>
      <w:r>
        <w:rPr>
          <w:rFonts w:hint="eastAsia" w:eastAsia="方正仿宋简体"/>
          <w:sz w:val="32"/>
          <w:szCs w:val="32"/>
          <w:lang w:eastAsia="zh-CN"/>
        </w:rPr>
        <w:t>学校目前进行的实践，给研究提供了良好的基础，</w:t>
      </w:r>
      <w:r>
        <w:rPr>
          <w:rFonts w:hint="eastAsia" w:eastAsia="方正仿宋简体"/>
          <w:sz w:val="32"/>
          <w:szCs w:val="32"/>
        </w:rPr>
        <w:t>在以后的实践中，通过总结形成有用的课题研究和文章，为项目提供有力的支撑依据。</w:t>
      </w:r>
    </w:p>
    <w:p>
      <w:pPr>
        <w:spacing w:line="560" w:lineRule="exact"/>
        <w:ind w:firstLine="560" w:firstLineChars="200"/>
        <w:jc w:val="center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28"/>
          <w:szCs w:val="28"/>
        </w:rPr>
        <w:t xml:space="preserve">                        </w:t>
      </w:r>
      <w:r>
        <w:rPr>
          <w:rFonts w:hint="eastAsia" w:eastAsia="方正仿宋简体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center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 xml:space="preserve">                     成都学院</w:t>
      </w:r>
    </w:p>
    <w:p>
      <w:pPr>
        <w:spacing w:line="560" w:lineRule="exact"/>
        <w:ind w:firstLine="640" w:firstLineChars="200"/>
        <w:jc w:val="righ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高校整体支出绩效评价改革项目组</w:t>
      </w:r>
    </w:p>
    <w:p>
      <w:pPr>
        <w:spacing w:line="560" w:lineRule="exact"/>
        <w:ind w:firstLine="5120" w:firstLineChars="16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2017年10月12日</w:t>
      </w:r>
    </w:p>
    <w:p>
      <w:pPr>
        <w:ind w:right="640" w:firstLine="630"/>
        <w:jc w:val="right"/>
        <w:rPr>
          <w:rFonts w:eastAsia="方正仿宋简体"/>
          <w:sz w:val="32"/>
          <w:szCs w:val="32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7F"/>
    <w:rsid w:val="00004218"/>
    <w:rsid w:val="00006C73"/>
    <w:rsid w:val="00006EFD"/>
    <w:rsid w:val="000147FF"/>
    <w:rsid w:val="00027B16"/>
    <w:rsid w:val="00032FDC"/>
    <w:rsid w:val="00055F3B"/>
    <w:rsid w:val="000650DA"/>
    <w:rsid w:val="00071702"/>
    <w:rsid w:val="000949E6"/>
    <w:rsid w:val="000B61AB"/>
    <w:rsid w:val="000B7A48"/>
    <w:rsid w:val="000C08DD"/>
    <w:rsid w:val="000C1042"/>
    <w:rsid w:val="000C1FB0"/>
    <w:rsid w:val="000E6A86"/>
    <w:rsid w:val="000F016E"/>
    <w:rsid w:val="00115418"/>
    <w:rsid w:val="00121CB6"/>
    <w:rsid w:val="001368A3"/>
    <w:rsid w:val="00147977"/>
    <w:rsid w:val="001538BB"/>
    <w:rsid w:val="001577A6"/>
    <w:rsid w:val="00172312"/>
    <w:rsid w:val="0017676D"/>
    <w:rsid w:val="00181070"/>
    <w:rsid w:val="00183BC9"/>
    <w:rsid w:val="001B00D6"/>
    <w:rsid w:val="001C494A"/>
    <w:rsid w:val="001C6247"/>
    <w:rsid w:val="001E5EB6"/>
    <w:rsid w:val="0020189F"/>
    <w:rsid w:val="002022D9"/>
    <w:rsid w:val="002029CD"/>
    <w:rsid w:val="00226518"/>
    <w:rsid w:val="00234B37"/>
    <w:rsid w:val="00235E27"/>
    <w:rsid w:val="00244DD8"/>
    <w:rsid w:val="00245AD6"/>
    <w:rsid w:val="002738BF"/>
    <w:rsid w:val="002800D4"/>
    <w:rsid w:val="00281AC2"/>
    <w:rsid w:val="002900B2"/>
    <w:rsid w:val="002923DD"/>
    <w:rsid w:val="002A07F8"/>
    <w:rsid w:val="002A1AF3"/>
    <w:rsid w:val="002A21A3"/>
    <w:rsid w:val="002B0A5D"/>
    <w:rsid w:val="002B643A"/>
    <w:rsid w:val="002C42A4"/>
    <w:rsid w:val="002C5341"/>
    <w:rsid w:val="002D029A"/>
    <w:rsid w:val="00327C6A"/>
    <w:rsid w:val="003310D6"/>
    <w:rsid w:val="00346162"/>
    <w:rsid w:val="003508B9"/>
    <w:rsid w:val="003544F6"/>
    <w:rsid w:val="00362506"/>
    <w:rsid w:val="00374AC9"/>
    <w:rsid w:val="00380169"/>
    <w:rsid w:val="00382FCC"/>
    <w:rsid w:val="00384DAD"/>
    <w:rsid w:val="003904D5"/>
    <w:rsid w:val="003919B6"/>
    <w:rsid w:val="00396D21"/>
    <w:rsid w:val="00396E4E"/>
    <w:rsid w:val="003B0FD5"/>
    <w:rsid w:val="003C3856"/>
    <w:rsid w:val="003D6E79"/>
    <w:rsid w:val="003D7DF6"/>
    <w:rsid w:val="003E216F"/>
    <w:rsid w:val="003E48FE"/>
    <w:rsid w:val="003F3C86"/>
    <w:rsid w:val="00401FFB"/>
    <w:rsid w:val="00404864"/>
    <w:rsid w:val="00405A7F"/>
    <w:rsid w:val="0040617F"/>
    <w:rsid w:val="00410A4F"/>
    <w:rsid w:val="00410B35"/>
    <w:rsid w:val="0042503B"/>
    <w:rsid w:val="004266FC"/>
    <w:rsid w:val="00440380"/>
    <w:rsid w:val="0044395C"/>
    <w:rsid w:val="0045449D"/>
    <w:rsid w:val="004648F5"/>
    <w:rsid w:val="00480AB5"/>
    <w:rsid w:val="0048116A"/>
    <w:rsid w:val="004816B9"/>
    <w:rsid w:val="004948BE"/>
    <w:rsid w:val="004A5E77"/>
    <w:rsid w:val="004A6B3E"/>
    <w:rsid w:val="004A724E"/>
    <w:rsid w:val="004B3B42"/>
    <w:rsid w:val="004F791B"/>
    <w:rsid w:val="00504467"/>
    <w:rsid w:val="00514802"/>
    <w:rsid w:val="00521677"/>
    <w:rsid w:val="00544F00"/>
    <w:rsid w:val="00564126"/>
    <w:rsid w:val="0057061B"/>
    <w:rsid w:val="00572C64"/>
    <w:rsid w:val="005744E4"/>
    <w:rsid w:val="00575E68"/>
    <w:rsid w:val="00592E16"/>
    <w:rsid w:val="005A5E26"/>
    <w:rsid w:val="005B27D0"/>
    <w:rsid w:val="005B5501"/>
    <w:rsid w:val="005C1D55"/>
    <w:rsid w:val="005C1F4C"/>
    <w:rsid w:val="005C40A3"/>
    <w:rsid w:val="005C5D12"/>
    <w:rsid w:val="005D461A"/>
    <w:rsid w:val="005F2090"/>
    <w:rsid w:val="00600136"/>
    <w:rsid w:val="0061256A"/>
    <w:rsid w:val="00612D85"/>
    <w:rsid w:val="00615F4B"/>
    <w:rsid w:val="00616A27"/>
    <w:rsid w:val="0061749A"/>
    <w:rsid w:val="00624C4D"/>
    <w:rsid w:val="006275F8"/>
    <w:rsid w:val="00630E70"/>
    <w:rsid w:val="00680157"/>
    <w:rsid w:val="00680DDB"/>
    <w:rsid w:val="0068133A"/>
    <w:rsid w:val="0068307B"/>
    <w:rsid w:val="006857E6"/>
    <w:rsid w:val="00695EB8"/>
    <w:rsid w:val="006C79E3"/>
    <w:rsid w:val="006F705D"/>
    <w:rsid w:val="00711130"/>
    <w:rsid w:val="00716B1C"/>
    <w:rsid w:val="00722CF0"/>
    <w:rsid w:val="00745C87"/>
    <w:rsid w:val="00751D5F"/>
    <w:rsid w:val="00761E48"/>
    <w:rsid w:val="00761EDF"/>
    <w:rsid w:val="0077559B"/>
    <w:rsid w:val="0077600E"/>
    <w:rsid w:val="007934C4"/>
    <w:rsid w:val="00793764"/>
    <w:rsid w:val="007A5B91"/>
    <w:rsid w:val="007C0800"/>
    <w:rsid w:val="007C0912"/>
    <w:rsid w:val="007D0510"/>
    <w:rsid w:val="007E5B70"/>
    <w:rsid w:val="007F030A"/>
    <w:rsid w:val="007F2A1E"/>
    <w:rsid w:val="007F7733"/>
    <w:rsid w:val="0080008E"/>
    <w:rsid w:val="00844172"/>
    <w:rsid w:val="00851FAA"/>
    <w:rsid w:val="00854A81"/>
    <w:rsid w:val="00862BF9"/>
    <w:rsid w:val="00873A8F"/>
    <w:rsid w:val="0087738B"/>
    <w:rsid w:val="0088515C"/>
    <w:rsid w:val="0089320F"/>
    <w:rsid w:val="00893D90"/>
    <w:rsid w:val="008A339B"/>
    <w:rsid w:val="008B2CDD"/>
    <w:rsid w:val="008B4F4B"/>
    <w:rsid w:val="008D76F1"/>
    <w:rsid w:val="008E7D0D"/>
    <w:rsid w:val="009036D7"/>
    <w:rsid w:val="00911E9C"/>
    <w:rsid w:val="0094153C"/>
    <w:rsid w:val="00941D1C"/>
    <w:rsid w:val="00953CD9"/>
    <w:rsid w:val="009540FD"/>
    <w:rsid w:val="00966494"/>
    <w:rsid w:val="009756CD"/>
    <w:rsid w:val="0098311F"/>
    <w:rsid w:val="009A1DCF"/>
    <w:rsid w:val="009A5830"/>
    <w:rsid w:val="009D2C1B"/>
    <w:rsid w:val="009E34D5"/>
    <w:rsid w:val="009E76BB"/>
    <w:rsid w:val="009F2930"/>
    <w:rsid w:val="009F5B8D"/>
    <w:rsid w:val="00A03659"/>
    <w:rsid w:val="00A13B70"/>
    <w:rsid w:val="00A209B2"/>
    <w:rsid w:val="00A22792"/>
    <w:rsid w:val="00A23BDA"/>
    <w:rsid w:val="00A8078B"/>
    <w:rsid w:val="00A80BB8"/>
    <w:rsid w:val="00A81DE8"/>
    <w:rsid w:val="00A86330"/>
    <w:rsid w:val="00A9781E"/>
    <w:rsid w:val="00AA2DC7"/>
    <w:rsid w:val="00AB5FA2"/>
    <w:rsid w:val="00AC2EED"/>
    <w:rsid w:val="00AC5602"/>
    <w:rsid w:val="00AE1E43"/>
    <w:rsid w:val="00B062EF"/>
    <w:rsid w:val="00B0698C"/>
    <w:rsid w:val="00B26D5F"/>
    <w:rsid w:val="00B5453E"/>
    <w:rsid w:val="00B556FE"/>
    <w:rsid w:val="00B55E75"/>
    <w:rsid w:val="00B600AE"/>
    <w:rsid w:val="00B75CDE"/>
    <w:rsid w:val="00B815C6"/>
    <w:rsid w:val="00B91202"/>
    <w:rsid w:val="00B91906"/>
    <w:rsid w:val="00BB6C55"/>
    <w:rsid w:val="00BC6A77"/>
    <w:rsid w:val="00BF0210"/>
    <w:rsid w:val="00C06888"/>
    <w:rsid w:val="00C20255"/>
    <w:rsid w:val="00C31498"/>
    <w:rsid w:val="00C36477"/>
    <w:rsid w:val="00C3735D"/>
    <w:rsid w:val="00C37587"/>
    <w:rsid w:val="00C72053"/>
    <w:rsid w:val="00C7317E"/>
    <w:rsid w:val="00C77E1A"/>
    <w:rsid w:val="00C80955"/>
    <w:rsid w:val="00C862CE"/>
    <w:rsid w:val="00CA2767"/>
    <w:rsid w:val="00CB7EB9"/>
    <w:rsid w:val="00CD5426"/>
    <w:rsid w:val="00CD5CB0"/>
    <w:rsid w:val="00CF1ABD"/>
    <w:rsid w:val="00D26FF3"/>
    <w:rsid w:val="00D434AD"/>
    <w:rsid w:val="00D813B6"/>
    <w:rsid w:val="00D8455A"/>
    <w:rsid w:val="00D902CA"/>
    <w:rsid w:val="00D966DB"/>
    <w:rsid w:val="00DB3507"/>
    <w:rsid w:val="00DD31F1"/>
    <w:rsid w:val="00DD42B0"/>
    <w:rsid w:val="00DD4C8D"/>
    <w:rsid w:val="00DE11C4"/>
    <w:rsid w:val="00DF3881"/>
    <w:rsid w:val="00DF65E8"/>
    <w:rsid w:val="00E06268"/>
    <w:rsid w:val="00E36EC0"/>
    <w:rsid w:val="00E43F79"/>
    <w:rsid w:val="00E74291"/>
    <w:rsid w:val="00E75FAE"/>
    <w:rsid w:val="00E77651"/>
    <w:rsid w:val="00E77824"/>
    <w:rsid w:val="00E80317"/>
    <w:rsid w:val="00E8530E"/>
    <w:rsid w:val="00EA5A2C"/>
    <w:rsid w:val="00EB0BF3"/>
    <w:rsid w:val="00EB69CD"/>
    <w:rsid w:val="00EC0936"/>
    <w:rsid w:val="00EC136F"/>
    <w:rsid w:val="00EC2821"/>
    <w:rsid w:val="00EC7BA4"/>
    <w:rsid w:val="00ED0447"/>
    <w:rsid w:val="00EE4B47"/>
    <w:rsid w:val="00EF0B5F"/>
    <w:rsid w:val="00EF52BA"/>
    <w:rsid w:val="00EF7812"/>
    <w:rsid w:val="00F015AC"/>
    <w:rsid w:val="00F072E7"/>
    <w:rsid w:val="00F10F64"/>
    <w:rsid w:val="00F1233C"/>
    <w:rsid w:val="00F23EB2"/>
    <w:rsid w:val="00F430BE"/>
    <w:rsid w:val="00F45F5D"/>
    <w:rsid w:val="00F72ED1"/>
    <w:rsid w:val="00F80800"/>
    <w:rsid w:val="00F83745"/>
    <w:rsid w:val="00FA4EA5"/>
    <w:rsid w:val="00FA5798"/>
    <w:rsid w:val="00FB19EF"/>
    <w:rsid w:val="00FB45A6"/>
    <w:rsid w:val="00FC76C3"/>
    <w:rsid w:val="13DF1143"/>
    <w:rsid w:val="2A122B19"/>
    <w:rsid w:val="4EA811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50" w:after="150"/>
      <w:ind w:left="150" w:right="150"/>
      <w:jc w:val="left"/>
    </w:pPr>
    <w:rPr>
      <w:color w:val="333333"/>
      <w:kern w:val="0"/>
      <w:sz w:val="20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vjh</Company>
  <Pages>2</Pages>
  <Words>117</Words>
  <Characters>668</Characters>
  <Lines>5</Lines>
  <Paragraphs>1</Paragraphs>
  <TotalTime>0</TotalTime>
  <ScaleCrop>false</ScaleCrop>
  <LinksUpToDate>false</LinksUpToDate>
  <CharactersWithSpaces>784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2017-05-20T02:02:00Z</dcterms:created>
  <dc:creator>ZYY</dc:creator>
  <cp:lastModifiedBy>Administrator</cp:lastModifiedBy>
  <dcterms:modified xsi:type="dcterms:W3CDTF">2017-10-30T09:27:14Z</dcterms:modified>
  <cp:revision>243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